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split-plot</w:t>
      </w:r>
      <w:r>
        <w:t xml:space="preserve"> </w:t>
      </w:r>
      <w:r>
        <w:t xml:space="preserve">design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12,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There are data for a split-plot design with 6 levels for the main plot factor, 18 levels for the sub-plot factor, and 2 replications for the main plot factor.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  <m:r>
                <m:t>k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α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β</m:t>
              </m:r>
            </m:e>
            <m:sub>
              <m:r>
                <m:t>j</m:t>
              </m:r>
            </m:sub>
          </m:sSub>
          <m:r>
            <m:t>+</m:t>
          </m:r>
          <m:sSub>
            <m:e>
              <m:r>
                <m:t>γ</m:t>
              </m:r>
            </m:e>
            <m:sub>
              <m:r>
                <m:t>k</m:t>
              </m:r>
            </m:sub>
          </m:sSub>
          <m:r>
            <m:t>+</m:t>
          </m:r>
          <m:r>
            <m:t>(</m:t>
          </m:r>
          <m:r>
            <m:t>α</m:t>
          </m:r>
          <m:r>
            <m:t>β</m:t>
          </m:r>
          <m:sSub>
            <m:e>
              <m:r>
                <m:t>)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+</m:t>
          </m:r>
          <m:r>
            <m:t>(</m:t>
          </m:r>
          <m:r>
            <m:t>α</m:t>
          </m:r>
          <m:r>
            <m:t>γ</m:t>
          </m:r>
          <m:sSub>
            <m:e>
              <m:r>
                <m:t>)</m:t>
              </m:r>
            </m:e>
            <m:sub>
              <m:r>
                <m:t>i</m:t>
              </m:r>
              <m:r>
                <m:t>k</m:t>
              </m:r>
            </m:sub>
          </m:sSub>
          <m:r>
            <m:t>+</m:t>
          </m:r>
          <m:r>
            <m:t>(</m:t>
          </m:r>
          <m:r>
            <m:t>β</m:t>
          </m:r>
          <m:r>
            <m:t>γ</m:t>
          </m:r>
          <m:sSub>
            <m:e>
              <m:r>
                <m:t>)</m:t>
              </m:r>
            </m:e>
            <m:sub>
              <m:r>
                <m:t>j</m:t>
              </m:r>
              <m:r>
                <m:t>k</m:t>
              </m:r>
            </m:sub>
          </m:sSub>
          <m:r>
            <m:t>+</m:t>
          </m:r>
          <m:r>
            <m:t>(</m:t>
          </m:r>
          <m:r>
            <m:t>α</m:t>
          </m:r>
          <m:r>
            <m:t>β</m:t>
          </m:r>
          <m:r>
            <m:t>γ</m:t>
          </m:r>
          <m:sSub>
            <m:e>
              <m:r>
                <m:t>)</m:t>
              </m:r>
            </m:e>
            <m:sub>
              <m:r>
                <m:t>i</m:t>
              </m:r>
              <m:r>
                <m:t>j</m:t>
              </m:r>
              <m:r>
                <m:t>k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</m:oMath>
      <w:r>
        <w:t xml:space="preserve"> </w:t>
      </w:r>
      <w:r>
        <w:t xml:space="preserve">is the observed response with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the main plot factor,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the sub-plot factor, and replication</w:t>
      </w:r>
      <w:r>
        <w:t xml:space="preserve"> </w:t>
      </w:r>
      <m:oMath>
        <m:r>
          <m:t>k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levels of factors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α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the main 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β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the sub-plot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γ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the effect of replication</w:t>
      </w:r>
      <w:r>
        <w:t xml:space="preserve"> </w:t>
      </w:r>
      <m:oMath>
        <m:r>
          <m:t>k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(</m:t>
        </m:r>
        <m:r>
          <m:t>α</m:t>
        </m:r>
        <m:r>
          <m:t>β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</m:sub>
        </m:sSub>
      </m:oMath>
      <w:r>
        <w:t xml:space="preserve">, 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</m:oMath>
      <w:r>
        <w:t xml:space="preserve"> </w:t>
      </w:r>
      <w:r>
        <w:t xml:space="preserve">the corresponding interactions.</w:t>
      </w:r>
    </w:p>
    <w:p>
      <w:pPr>
        <w:pStyle w:val="FirstParagraph"/>
      </w:pPr>
      <w:r>
        <w:t xml:space="preserve">In this model</w:t>
      </w:r>
      <w:r>
        <w:t xml:space="preserve"> </w:t>
      </w:r>
      <m:oMath>
        <m:r>
          <m:t>(</m:t>
        </m:r>
        <m:r>
          <m:t>α</m:t>
        </m:r>
        <m:r>
          <m:t>γ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</m:sub>
        </m:sSub>
      </m:oMath>
      <w:r>
        <w:t xml:space="preserve"> </w:t>
      </w:r>
      <w:r>
        <w:t xml:space="preserve">is the error term for the main plot factor, and</w:t>
      </w:r>
      <w:r>
        <w:t xml:space="preserve"> </w:t>
      </w:r>
      <m:oMath>
        <m:r>
          <m:t>(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</m:oMath>
      <w:r>
        <w:t xml:space="preserve"> </w:t>
      </w:r>
      <w:r>
        <w:t xml:space="preserve">are pooled to form the error term for the split-plot factor.</w:t>
      </w:r>
    </w:p>
    <w:p>
      <w:pPr>
        <w:pStyle w:val="Heading1"/>
      </w:pPr>
      <w:bookmarkStart w:id="21" w:name="X8cdc1cc6dfa00e911926adf71528e73452a8846"/>
      <w:r>
        <w:t xml:space="preserve">2. Analysis for trait barley_grain_fresh_weight_1000_grain_g</w:t>
      </w:r>
      <w:bookmarkEnd w:id="21"/>
    </w:p>
    <w:p>
      <w:pPr>
        <w:pStyle w:val="Heading2"/>
      </w:pPr>
      <w:bookmarkStart w:id="22" w:name="anova"/>
      <w:r>
        <w:t xml:space="preserve">2.1. ANOVA</w:t>
      </w:r>
      <w:bookmarkEnd w:id="22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y</w:t>
      </w:r>
      <w:r>
        <w:br w:type="textWrapping"/>
      </w:r>
      <w:r>
        <w:rPr>
          <w:rStyle w:val="VerbatimChar"/>
        </w:rPr>
        <w:t xml:space="preserve">##         Df Sum Sq Mean Sq F value Pr(&gt;F)</w:t>
      </w:r>
      <w:r>
        <w:br w:type="textWrapping"/>
      </w:r>
      <w:r>
        <w:rPr>
          <w:rStyle w:val="VerbatimChar"/>
        </w:rPr>
        <w:t xml:space="preserve">## rep      1    450     450               </w:t>
      </w:r>
      <w:r>
        <w:br w:type="textWrapping"/>
      </w:r>
      <w:r>
        <w:rPr>
          <w:rStyle w:val="VerbatimChar"/>
        </w:rPr>
        <w:t xml:space="preserve">## mpf      4  13360    3340               </w:t>
      </w:r>
      <w:r>
        <w:br w:type="textWrapping"/>
      </w:r>
      <w:r>
        <w:rPr>
          <w:rStyle w:val="VerbatimChar"/>
        </w:rPr>
        <w:t xml:space="preserve">## Ea       0      0                       </w:t>
      </w:r>
      <w:r>
        <w:br w:type="textWrapping"/>
      </w:r>
      <w:r>
        <w:rPr>
          <w:rStyle w:val="VerbatimChar"/>
        </w:rPr>
        <w:t xml:space="preserve">## spf     12      0       0               </w:t>
      </w:r>
      <w:r>
        <w:br w:type="textWrapping"/>
      </w:r>
      <w:r>
        <w:rPr>
          <w:rStyle w:val="VerbatimChar"/>
        </w:rPr>
        <w:t xml:space="preserve">## mpf:spf                                 </w:t>
      </w:r>
      <w:r>
        <w:br w:type="textWrapping"/>
      </w:r>
      <w:r>
        <w:rPr>
          <w:rStyle w:val="VerbatimChar"/>
        </w:rPr>
        <w:t xml:space="preserve">## Eb</w:t>
      </w:r>
    </w:p>
    <w:p>
      <w:pPr>
        <w:pStyle w:val="Heading1"/>
      </w:pPr>
      <w:bookmarkStart w:id="23" w:name="Xb0464e5ea57de47215b13f07ca4eb6ee425f533"/>
      <w:r>
        <w:t xml:space="preserve">3. Analysis for trait barley_grain_dry_weight_1000_grain_g</w:t>
      </w:r>
      <w:bookmarkEnd w:id="23"/>
    </w:p>
    <w:p>
      <w:pPr>
        <w:pStyle w:val="Heading2"/>
      </w:pPr>
      <w:bookmarkStart w:id="24" w:name="anova-1"/>
      <w:r>
        <w:t xml:space="preserve">3.1. ANOVA</w:t>
      </w:r>
      <w:bookmarkEnd w:id="24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y</w:t>
      </w:r>
      <w:r>
        <w:br w:type="textWrapping"/>
      </w:r>
      <w:r>
        <w:rPr>
          <w:rStyle w:val="VerbatimChar"/>
        </w:rPr>
        <w:t xml:space="preserve">##         Df  Sum Sq Mean Sq F value Pr(&gt;F)</w:t>
      </w:r>
      <w:r>
        <w:br w:type="textWrapping"/>
      </w:r>
      <w:r>
        <w:rPr>
          <w:rStyle w:val="VerbatimChar"/>
        </w:rPr>
        <w:t xml:space="preserve">## rep      1  1404.5  1404.5               </w:t>
      </w:r>
      <w:r>
        <w:br w:type="textWrapping"/>
      </w:r>
      <w:r>
        <w:rPr>
          <w:rStyle w:val="VerbatimChar"/>
        </w:rPr>
        <w:t xml:space="preserve">## mpf      4 11984.0  2996.0               </w:t>
      </w:r>
      <w:r>
        <w:br w:type="textWrapping"/>
      </w:r>
      <w:r>
        <w:rPr>
          <w:rStyle w:val="VerbatimChar"/>
        </w:rPr>
        <w:t xml:space="preserve">## Ea       0     0.0                       </w:t>
      </w:r>
      <w:r>
        <w:br w:type="textWrapping"/>
      </w:r>
      <w:r>
        <w:rPr>
          <w:rStyle w:val="VerbatimChar"/>
        </w:rPr>
        <w:t xml:space="preserve">## spf     12     0.0     0.0               </w:t>
      </w:r>
      <w:r>
        <w:br w:type="textWrapping"/>
      </w:r>
      <w:r>
        <w:rPr>
          <w:rStyle w:val="VerbatimChar"/>
        </w:rPr>
        <w:t xml:space="preserve">## mpf:spf                                  </w:t>
      </w:r>
      <w:r>
        <w:br w:type="textWrapping"/>
      </w:r>
      <w:r>
        <w:rPr>
          <w:rStyle w:val="VerbatimChar"/>
        </w:rPr>
        <w:t xml:space="preserve">## Eb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split-plot design</dc:title>
  <dc:creator>AgroFIMS</dc:creator>
  <cp:keywords/>
  <dcterms:created xsi:type="dcterms:W3CDTF">2021-01-12T20:07:38Z</dcterms:created>
  <dcterms:modified xsi:type="dcterms:W3CDTF">2021-01-12T20:07:38Z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